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11月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份全市经济运行情况</w:t>
      </w:r>
    </w:p>
    <w:p>
      <w:pPr>
        <w:widowControl/>
        <w:spacing w:before="30" w:after="30"/>
        <w:ind w:left="150" w:right="30"/>
        <w:jc w:val="lef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FF0000"/>
          <w:kern w:val="0"/>
          <w:szCs w:val="32"/>
        </w:rPr>
        <w:t xml:space="preserve">   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11</w:t>
      </w:r>
      <w:r>
        <w:rPr>
          <w:rFonts w:hint="eastAsia" w:eastAsia="仿宋_GB2312"/>
          <w:sz w:val="32"/>
          <w:szCs w:val="32"/>
          <w:highlight w:val="none"/>
        </w:rPr>
        <w:t>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固定资产投资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一般公共预算收入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、金融机构人民币存款指标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增速提升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，规模以上工业增加值增速回落，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限额以上消费品零售额</w:t>
      </w:r>
      <w:r>
        <w:rPr>
          <w:rFonts w:hint="eastAsia" w:cs="Times New Roman"/>
          <w:kern w:val="2"/>
          <w:sz w:val="32"/>
          <w:szCs w:val="32"/>
          <w:highlight w:val="none"/>
          <w:lang w:val="en-US" w:eastAsia="zh-CN" w:bidi="ar-SA"/>
        </w:rPr>
        <w:t>增速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降幅收窄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1.工业生产。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11月份，全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市规模以上工业增加值同比增长0.2%。分三大门类看，采矿业增加值下降3.4%；制造业下降4.6%；电力、热力、燃气及水生产和供应业增长16.4%。分行业看，全市36个大类行业中有18个增加值同比保持增长。煤电行业增加值增长2.5%，非煤电行业增加值下降4.5%，其中，废弃资源综合利用业增长674.6%，铁路、船舶、航空航天和其他运输设备业增长114.8%，仪器仪表制造业增长32.1%，农副食品加工业增长20.4%，化学原料和化学制品制造业增长10.5%。分产品看，原煤增长5.7%；洗煤下降20.4%；发电量增长7.0%；水泥下降15.3%；乳制品下降17.0%；滚动轴承增长30.1%，汽车下降31.2%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1-1月份，全市规模以上工业增加值同比增长3.6%，其中，煤电行业增加值同比增长2.7%，非煤电行业增加值同比增长5.6%。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000000"/>
          <w:szCs w:val="32"/>
        </w:rPr>
        <w:t>月份，全市工业用电量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53.4</w:t>
      </w:r>
      <w:r>
        <w:rPr>
          <w:rFonts w:hint="eastAsia" w:ascii="Times New Roman" w:hAnsi="Times New Roman"/>
          <w:color w:val="000000"/>
          <w:szCs w:val="32"/>
        </w:rPr>
        <w:t>亿千瓦时，同比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6.5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楷体" w:hAnsi="楷体" w:eastAsia="楷体"/>
          <w:b/>
          <w:color w:val="000000"/>
          <w:szCs w:val="32"/>
        </w:rPr>
        <w:t>2.固定资产投资。</w:t>
      </w: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000000"/>
          <w:szCs w:val="32"/>
        </w:rPr>
        <w:t>月份，全市固定资产投资同比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9.8</w:t>
      </w:r>
      <w:r>
        <w:rPr>
          <w:rFonts w:hint="eastAsia" w:ascii="Times New Roman" w:hAnsi="Times New Roman"/>
          <w:color w:val="000000"/>
          <w:szCs w:val="32"/>
        </w:rPr>
        <w:t>%。其中：500万元以上项目投资同比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17.8</w:t>
      </w:r>
      <w:r>
        <w:rPr>
          <w:rFonts w:hint="eastAsia" w:ascii="Times New Roman" w:hAnsi="Times New Roman"/>
          <w:color w:val="000000"/>
          <w:szCs w:val="32"/>
        </w:rPr>
        <w:t>%。分产业看，500万元以上项目中，第一产业投资同比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6.9</w:t>
      </w:r>
      <w:r>
        <w:rPr>
          <w:rFonts w:hint="eastAsia" w:ascii="Times New Roman" w:hAnsi="Times New Roman"/>
          <w:color w:val="000000"/>
          <w:szCs w:val="32"/>
        </w:rPr>
        <w:t>%；第二产业投资同比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11.1</w:t>
      </w:r>
      <w:r>
        <w:rPr>
          <w:rFonts w:hint="eastAsia" w:ascii="Times New Roman" w:hAnsi="Times New Roman"/>
          <w:color w:val="000000"/>
          <w:szCs w:val="32"/>
        </w:rPr>
        <w:t>%；第三产业投资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23.6</w:t>
      </w:r>
      <w:r>
        <w:rPr>
          <w:rFonts w:hint="eastAsia" w:ascii="Times New Roman" w:hAnsi="Times New Roman"/>
          <w:color w:val="000000"/>
          <w:szCs w:val="32"/>
        </w:rPr>
        <w:t>%。分项目看，1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000000"/>
          <w:szCs w:val="32"/>
        </w:rPr>
        <w:t>月份，全市500万元以上投资项目个数同比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27.6</w:t>
      </w:r>
      <w:r>
        <w:rPr>
          <w:rFonts w:hint="eastAsia" w:ascii="Times New Roman" w:hAnsi="Times New Roman"/>
          <w:color w:val="000000"/>
          <w:szCs w:val="32"/>
        </w:rPr>
        <w:t>%，其中，续建项目个数同比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33.9</w:t>
      </w:r>
      <w:r>
        <w:rPr>
          <w:rFonts w:hint="eastAsia" w:ascii="Times New Roman" w:hAnsi="Times New Roman"/>
          <w:color w:val="000000"/>
          <w:szCs w:val="32"/>
        </w:rPr>
        <w:t>%，民间投资项目个数同比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bookmarkStart w:id="0" w:name="_GoBack"/>
      <w:bookmarkEnd w:id="0"/>
      <w:r>
        <w:rPr>
          <w:rFonts w:hint="eastAsia" w:ascii="Times New Roman" w:hAnsi="Times New Roman"/>
          <w:color w:val="000000"/>
          <w:szCs w:val="32"/>
          <w:lang w:val="en-US" w:eastAsia="zh-CN"/>
        </w:rPr>
        <w:t>26.1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11月份，全市实现限额以上消费品零售额12.2亿元，同比下降7.9%。分消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费形态看，餐饮收入1.0亿元，同比增长5.4%；商品零售额11.2亿元，同比下降9.0%。分商品看，石油及制品类下降30.7%；汽车类增长1.3%；粮油、食品类增长13.7%。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月份，全市实现限额以上消费品零售额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136.4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下降11.2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</w:rPr>
        <w:t>4.进出口总额。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1-11月份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，全市进出口总额97960万美元，同比增长35.1%。其中，进口6650万美元，同比增长74.4%；出口91310万美元，同比增长33.0%。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1-11月份，全市</w:t>
      </w:r>
      <w:r>
        <w:rPr>
          <w:rFonts w:hint="eastAsia" w:ascii="Times New Roman" w:hAnsi="Times New Roman"/>
          <w:color w:val="auto"/>
          <w:szCs w:val="32"/>
        </w:rPr>
        <w:t>实际利用外商直接投资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33584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1.8</w:t>
      </w:r>
      <w:r>
        <w:rPr>
          <w:rFonts w:hint="eastAsia" w:ascii="Times New Roman" w:hAnsi="Times New Roman"/>
          <w:color w:val="auto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5.财政收入。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11月份，全市一般公共预算收入6.4亿元，同比增长7.0%；财政支出17.4</w:t>
      </w:r>
      <w:r>
        <w:rPr>
          <w:rFonts w:hint="eastAsia"/>
          <w:color w:val="auto"/>
          <w:szCs w:val="32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下降15.9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月份，全市一般公共预算收入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104.4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4.5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%。一般公共预算收入中，企业所得税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下降3.8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%，个人所得税增长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30.1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%，增值税增长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14.9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%。财政支出完成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243.8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6.金融存贷款。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11月末，全市金融机构人民币存款余额2632.5亿元，同比增长7.9%，余额比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增加63.8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270.2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亿元。全市金融机构人民币贷款余额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1915.4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9.5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%，余额比上月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增加17.6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200.6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7.居民消费价格</w:t>
      </w: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11月份，全市居民消费价格同比上涨2.6%，八大类商品和服务价格呈现“六升二降”态势，其中医疗保健、居住、生活用品及服务、食品烟酒、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教育文化和娱乐、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交通和通信类分别上涨0.1%、0.7%、1.0%、2.8%、3.3%、9.6%；衣着、其他用品和服务类分别下降0.2%、0.4%。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1-11月份，全市居民消费价格总水平同比上涨0.8%。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21A1283"/>
    <w:rsid w:val="07A56D6A"/>
    <w:rsid w:val="07D13016"/>
    <w:rsid w:val="09C61EDC"/>
    <w:rsid w:val="0A1C6681"/>
    <w:rsid w:val="0B730830"/>
    <w:rsid w:val="0C043C74"/>
    <w:rsid w:val="0C2C6FFA"/>
    <w:rsid w:val="0C9C6D4B"/>
    <w:rsid w:val="0CF93FBA"/>
    <w:rsid w:val="0D3C2756"/>
    <w:rsid w:val="0EEF0605"/>
    <w:rsid w:val="10B36CCF"/>
    <w:rsid w:val="11393046"/>
    <w:rsid w:val="12AA1929"/>
    <w:rsid w:val="15733E73"/>
    <w:rsid w:val="15A01D7D"/>
    <w:rsid w:val="15E04778"/>
    <w:rsid w:val="16E31D76"/>
    <w:rsid w:val="174C5C64"/>
    <w:rsid w:val="17CC5715"/>
    <w:rsid w:val="1BF42C50"/>
    <w:rsid w:val="1C27310B"/>
    <w:rsid w:val="1C7D6FCA"/>
    <w:rsid w:val="1CCF3BE3"/>
    <w:rsid w:val="200719C8"/>
    <w:rsid w:val="206A3732"/>
    <w:rsid w:val="208A3A88"/>
    <w:rsid w:val="217978A4"/>
    <w:rsid w:val="23083E9B"/>
    <w:rsid w:val="24A461B0"/>
    <w:rsid w:val="24B11F76"/>
    <w:rsid w:val="288D2737"/>
    <w:rsid w:val="28D01900"/>
    <w:rsid w:val="2D152E9F"/>
    <w:rsid w:val="2D2405B1"/>
    <w:rsid w:val="2D893DBF"/>
    <w:rsid w:val="2F2F471E"/>
    <w:rsid w:val="2FA71EA3"/>
    <w:rsid w:val="3010771D"/>
    <w:rsid w:val="32A35A64"/>
    <w:rsid w:val="32AC192D"/>
    <w:rsid w:val="347B7601"/>
    <w:rsid w:val="35BB04B9"/>
    <w:rsid w:val="35F27965"/>
    <w:rsid w:val="38BA7FD5"/>
    <w:rsid w:val="38E51CA5"/>
    <w:rsid w:val="399C665C"/>
    <w:rsid w:val="3A5F4AC5"/>
    <w:rsid w:val="3B010521"/>
    <w:rsid w:val="3C176879"/>
    <w:rsid w:val="3C2806D2"/>
    <w:rsid w:val="3C3C28BE"/>
    <w:rsid w:val="3CCA294D"/>
    <w:rsid w:val="3D117340"/>
    <w:rsid w:val="3D682677"/>
    <w:rsid w:val="3EE84F57"/>
    <w:rsid w:val="3F834547"/>
    <w:rsid w:val="415578C3"/>
    <w:rsid w:val="41E0297A"/>
    <w:rsid w:val="432D1944"/>
    <w:rsid w:val="433D756E"/>
    <w:rsid w:val="4ABF7C56"/>
    <w:rsid w:val="4E074D1E"/>
    <w:rsid w:val="4EE52179"/>
    <w:rsid w:val="4F5410CC"/>
    <w:rsid w:val="51216A06"/>
    <w:rsid w:val="52D6569E"/>
    <w:rsid w:val="532E7431"/>
    <w:rsid w:val="54116074"/>
    <w:rsid w:val="54DD3A9A"/>
    <w:rsid w:val="57953D60"/>
    <w:rsid w:val="579D7BCE"/>
    <w:rsid w:val="5B3B1E56"/>
    <w:rsid w:val="5C115871"/>
    <w:rsid w:val="5C1F62C3"/>
    <w:rsid w:val="5DAF51E0"/>
    <w:rsid w:val="5E331DA0"/>
    <w:rsid w:val="5FE96653"/>
    <w:rsid w:val="60C26982"/>
    <w:rsid w:val="61931959"/>
    <w:rsid w:val="61AA73FA"/>
    <w:rsid w:val="63646DEF"/>
    <w:rsid w:val="63F824AD"/>
    <w:rsid w:val="64C7514A"/>
    <w:rsid w:val="652275CB"/>
    <w:rsid w:val="6B013DDE"/>
    <w:rsid w:val="6B3A4C6B"/>
    <w:rsid w:val="6BAC56E3"/>
    <w:rsid w:val="6C651E78"/>
    <w:rsid w:val="6F6749FA"/>
    <w:rsid w:val="721B7371"/>
    <w:rsid w:val="754B2AC5"/>
    <w:rsid w:val="7711013C"/>
    <w:rsid w:val="78654D1D"/>
    <w:rsid w:val="78B44D1B"/>
    <w:rsid w:val="78D941C4"/>
    <w:rsid w:val="7A4E492E"/>
    <w:rsid w:val="7A83274C"/>
    <w:rsid w:val="7C222E78"/>
    <w:rsid w:val="7D5E06CF"/>
    <w:rsid w:val="7EE134DC"/>
    <w:rsid w:val="7EF33A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40</TotalTime>
  <ScaleCrop>false</ScaleCrop>
  <LinksUpToDate>false</LinksUpToDate>
  <CharactersWithSpaces>1541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2021-06-22T02:39:00Z</cp:lastPrinted>
  <dcterms:modified xsi:type="dcterms:W3CDTF">2021-12-27T01:07:48Z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8C9E014914694DF0A7072587520347F0</vt:lpwstr>
  </property>
</Properties>
</file>